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7169B" w14:textId="736066C9"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proofErr w:type="spellStart"/>
      <w:r w:rsidRPr="00CE0424">
        <w:rPr>
          <w:sz w:val="32"/>
          <w:szCs w:val="32"/>
        </w:rPr>
        <w:t>Tdoc</w:t>
      </w:r>
      <w:proofErr w:type="spellEnd"/>
      <w:r w:rsidRPr="00CE0424">
        <w:rPr>
          <w:sz w:val="32"/>
          <w:szCs w:val="32"/>
        </w:rPr>
        <w:t xml:space="preserve"> </w:t>
      </w:r>
      <w:r w:rsidR="00415F5E" w:rsidRPr="00415F5E">
        <w:rPr>
          <w:sz w:val="32"/>
          <w:szCs w:val="32"/>
        </w:rPr>
        <w:t>R2-1713343</w:t>
      </w:r>
    </w:p>
    <w:p w14:paraId="486B257B"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5189AC1C" w14:textId="77777777" w:rsidR="00E90E49" w:rsidRPr="00CE0424" w:rsidRDefault="00E90E49" w:rsidP="00357380">
      <w:pPr>
        <w:pStyle w:val="3GPPHeader"/>
      </w:pPr>
    </w:p>
    <w:p w14:paraId="299C9281" w14:textId="0D3F2844" w:rsidR="00E90E49" w:rsidRPr="005020D5" w:rsidRDefault="00E90E49" w:rsidP="00311702">
      <w:pPr>
        <w:pStyle w:val="3GPPHeader"/>
        <w:rPr>
          <w:sz w:val="22"/>
          <w:szCs w:val="22"/>
          <w:lang w:val="sv-SE"/>
        </w:rPr>
      </w:pPr>
      <w:r w:rsidRPr="005020D5">
        <w:rPr>
          <w:sz w:val="22"/>
          <w:szCs w:val="22"/>
          <w:lang w:val="sv-SE"/>
        </w:rPr>
        <w:t>Agenda Item:</w:t>
      </w:r>
      <w:r w:rsidRPr="005020D5">
        <w:rPr>
          <w:sz w:val="22"/>
          <w:szCs w:val="22"/>
          <w:lang w:val="sv-SE"/>
        </w:rPr>
        <w:tab/>
      </w:r>
      <w:r w:rsidR="00415F5E" w:rsidRPr="00415F5E">
        <w:rPr>
          <w:sz w:val="22"/>
          <w:szCs w:val="22"/>
          <w:lang w:val="sv-SE"/>
        </w:rPr>
        <w:t>10.4.1.3.4</w:t>
      </w:r>
    </w:p>
    <w:p w14:paraId="76AD1AA7" w14:textId="77777777" w:rsidR="00E90E49" w:rsidRPr="005020D5" w:rsidRDefault="003D3C45" w:rsidP="00F64C2B">
      <w:pPr>
        <w:pStyle w:val="3GPPHeader"/>
        <w:rPr>
          <w:sz w:val="22"/>
          <w:szCs w:val="22"/>
        </w:rPr>
      </w:pPr>
      <w:r w:rsidRPr="005020D5">
        <w:rPr>
          <w:sz w:val="22"/>
          <w:szCs w:val="22"/>
        </w:rPr>
        <w:t>Source:</w:t>
      </w:r>
      <w:r w:rsidR="00E90E49" w:rsidRPr="005020D5">
        <w:rPr>
          <w:sz w:val="22"/>
          <w:szCs w:val="22"/>
        </w:rPr>
        <w:tab/>
      </w:r>
      <w:r w:rsidR="00F64C2B" w:rsidRPr="005020D5">
        <w:rPr>
          <w:sz w:val="22"/>
          <w:szCs w:val="22"/>
        </w:rPr>
        <w:t>Ericsson</w:t>
      </w:r>
    </w:p>
    <w:p w14:paraId="69E476EB" w14:textId="76DB31C4" w:rsidR="00E90E49" w:rsidRPr="005020D5" w:rsidRDefault="003D3C45" w:rsidP="00311702">
      <w:pPr>
        <w:pStyle w:val="3GPPHeader"/>
        <w:rPr>
          <w:sz w:val="22"/>
          <w:szCs w:val="22"/>
        </w:rPr>
      </w:pPr>
      <w:r w:rsidRPr="005020D5">
        <w:rPr>
          <w:sz w:val="22"/>
          <w:szCs w:val="22"/>
        </w:rPr>
        <w:t>Title:</w:t>
      </w:r>
      <w:r w:rsidR="00E90E49" w:rsidRPr="005020D5">
        <w:rPr>
          <w:sz w:val="22"/>
          <w:szCs w:val="22"/>
        </w:rPr>
        <w:tab/>
      </w:r>
      <w:r w:rsidR="00607A8A">
        <w:rPr>
          <w:sz w:val="22"/>
          <w:szCs w:val="22"/>
        </w:rPr>
        <w:t>Remaining terminology issues in EN-DC</w:t>
      </w:r>
    </w:p>
    <w:p w14:paraId="7CB3181E" w14:textId="77777777" w:rsidR="00E90E49" w:rsidRDefault="00E90E49" w:rsidP="00D546FF">
      <w:pPr>
        <w:pStyle w:val="3GPPHeader"/>
        <w:rPr>
          <w:sz w:val="22"/>
          <w:szCs w:val="22"/>
        </w:rPr>
      </w:pPr>
      <w:r w:rsidRPr="005020D5">
        <w:rPr>
          <w:sz w:val="22"/>
          <w:szCs w:val="22"/>
        </w:rPr>
        <w:t>Document for:</w:t>
      </w:r>
      <w:r w:rsidRPr="005020D5">
        <w:rPr>
          <w:sz w:val="22"/>
          <w:szCs w:val="22"/>
        </w:rPr>
        <w:tab/>
        <w:t>Discussion, Decision</w:t>
      </w:r>
    </w:p>
    <w:p w14:paraId="7DB135AC" w14:textId="77777777" w:rsidR="00C24345" w:rsidRDefault="00E90E49" w:rsidP="00A2052C">
      <w:pPr>
        <w:pStyle w:val="Heading1"/>
      </w:pPr>
      <w:r w:rsidRPr="00CE0424">
        <w:t>Introduction</w:t>
      </w:r>
    </w:p>
    <w:p w14:paraId="12651494" w14:textId="707B39EB" w:rsidR="00A2052C" w:rsidRPr="00A2052C" w:rsidRDefault="00607A8A" w:rsidP="00A2052C">
      <w:r>
        <w:t xml:space="preserve">There have been many email discussions </w:t>
      </w:r>
      <w:r w:rsidR="00E96A67">
        <w:t xml:space="preserve">on RRC </w:t>
      </w:r>
      <w:r>
        <w:t xml:space="preserve">and those have been progressing. In email discussion 99bis#17 </w:t>
      </w:r>
      <w:r w:rsidR="003038F1">
        <w:t xml:space="preserve">as well as in 99bis#27 </w:t>
      </w:r>
      <w:r w:rsidR="00415F5E">
        <w:t xml:space="preserve">some terminologies </w:t>
      </w:r>
      <w:r>
        <w:t>were discussed</w:t>
      </w:r>
      <w:r w:rsidR="00415F5E">
        <w:t xml:space="preserve"> as a side discussion</w:t>
      </w:r>
      <w:r>
        <w:t>.</w:t>
      </w:r>
      <w:r w:rsidR="00E96A67">
        <w:t xml:space="preserve"> In this contribution, we discuss some of terminologies and make proposals for way forward.</w:t>
      </w:r>
    </w:p>
    <w:p w14:paraId="399BF0EB" w14:textId="74994D84" w:rsidR="00A54826" w:rsidRDefault="004000E8" w:rsidP="00A54826">
      <w:pPr>
        <w:pStyle w:val="Heading1"/>
      </w:pPr>
      <w:bookmarkStart w:id="0" w:name="_Ref178064866"/>
      <w:r w:rsidRPr="00CE0424">
        <w:t>Discussion</w:t>
      </w:r>
      <w:bookmarkEnd w:id="0"/>
    </w:p>
    <w:p w14:paraId="31A3EA11" w14:textId="49EE7C58" w:rsidR="00A54826" w:rsidRDefault="00607A8A" w:rsidP="004645C4">
      <w:pPr>
        <w:pStyle w:val="Heading2"/>
      </w:pPr>
      <w:proofErr w:type="spellStart"/>
      <w:r>
        <w:t>PCell</w:t>
      </w:r>
      <w:proofErr w:type="spellEnd"/>
      <w:r>
        <w:t>/</w:t>
      </w:r>
      <w:proofErr w:type="spellStart"/>
      <w:r>
        <w:t>PSCell</w:t>
      </w:r>
      <w:proofErr w:type="spellEnd"/>
    </w:p>
    <w:p w14:paraId="5D25235E" w14:textId="3D194CB4" w:rsidR="003038F1" w:rsidRDefault="003038F1" w:rsidP="003038F1">
      <w:r>
        <w:t>In LTE, the primary cell of MCG is called Primary Cell (</w:t>
      </w:r>
      <w:proofErr w:type="spellStart"/>
      <w:r>
        <w:t>PCell</w:t>
      </w:r>
      <w:proofErr w:type="spellEnd"/>
      <w:r>
        <w:t xml:space="preserve">) in </w:t>
      </w:r>
      <w:r w:rsidR="00415F5E">
        <w:t xml:space="preserve">the </w:t>
      </w:r>
      <w:r>
        <w:t>RRC and MAC specifications. Then primacy cell of SCG is call Primary Seconda</w:t>
      </w:r>
      <w:r w:rsidR="00415F5E">
        <w:t>r</w:t>
      </w:r>
      <w:r>
        <w:t>y Cell (</w:t>
      </w:r>
      <w:proofErr w:type="spellStart"/>
      <w:r>
        <w:t>PSCell</w:t>
      </w:r>
      <w:proofErr w:type="spellEnd"/>
      <w:r>
        <w:t xml:space="preserve">) in the RRC specification whereas it is called </w:t>
      </w:r>
      <w:proofErr w:type="spellStart"/>
      <w:r>
        <w:t>PCell</w:t>
      </w:r>
      <w:proofErr w:type="spellEnd"/>
      <w:r>
        <w:t xml:space="preserve"> in the MAC specification. One reason to have a different name was that </w:t>
      </w:r>
      <w:r w:rsidR="007A4634">
        <w:t>the signalling structu</w:t>
      </w:r>
      <w:r w:rsidR="00415F5E">
        <w:t xml:space="preserve">re was quite different for </w:t>
      </w:r>
      <w:proofErr w:type="spellStart"/>
      <w:r w:rsidR="00415F5E">
        <w:t>PCell</w:t>
      </w:r>
      <w:proofErr w:type="spellEnd"/>
      <w:r w:rsidR="00415F5E">
        <w:t xml:space="preserve"> and </w:t>
      </w:r>
      <w:proofErr w:type="spellStart"/>
      <w:r w:rsidR="00415F5E">
        <w:t>PSCell</w:t>
      </w:r>
      <w:proofErr w:type="spellEnd"/>
      <w:r w:rsidR="00415F5E">
        <w:t xml:space="preserve"> because </w:t>
      </w:r>
      <w:proofErr w:type="spellStart"/>
      <w:r w:rsidR="00415F5E">
        <w:t>PSC</w:t>
      </w:r>
      <w:r w:rsidR="007A4634">
        <w:t>ell</w:t>
      </w:r>
      <w:proofErr w:type="spellEnd"/>
      <w:r w:rsidR="007A4634">
        <w:t xml:space="preserve"> configuration was introduced much later than </w:t>
      </w:r>
      <w:proofErr w:type="spellStart"/>
      <w:r w:rsidR="007A4634">
        <w:t>PCell</w:t>
      </w:r>
      <w:proofErr w:type="spellEnd"/>
      <w:r w:rsidR="007A4634">
        <w:t xml:space="preserve"> configuration (which is </w:t>
      </w:r>
      <w:proofErr w:type="gramStart"/>
      <w:r w:rsidR="007A4634">
        <w:t>actually from</w:t>
      </w:r>
      <w:proofErr w:type="gramEnd"/>
      <w:r w:rsidR="007A4634">
        <w:t xml:space="preserve"> Rel-8).</w:t>
      </w:r>
    </w:p>
    <w:p w14:paraId="229CB0AE" w14:textId="6B611513" w:rsidR="007A4634" w:rsidRDefault="00415F5E" w:rsidP="003038F1">
      <w:r>
        <w:t>Now in NR,</w:t>
      </w:r>
      <w:r w:rsidR="007A4634">
        <w:t xml:space="preserve"> intention is to introduce DC (at least EN-DC) as well as CA already in the first release. This allows to have a unified structure for all cell groups as well cells in the cell groups. The unified structure applies also to naming: seems that most of functions in the current TP for 38.331 are common for </w:t>
      </w:r>
      <w:proofErr w:type="spellStart"/>
      <w:r w:rsidR="007A4634">
        <w:t>PCell</w:t>
      </w:r>
      <w:proofErr w:type="spellEnd"/>
      <w:r w:rsidR="007A4634">
        <w:t xml:space="preserve"> and </w:t>
      </w:r>
      <w:proofErr w:type="spellStart"/>
      <w:r w:rsidR="007A4634">
        <w:t>PSCell</w:t>
      </w:r>
      <w:proofErr w:type="spellEnd"/>
      <w:r w:rsidR="007A4634">
        <w:t xml:space="preserve">. </w:t>
      </w:r>
      <w:proofErr w:type="gramStart"/>
      <w:r w:rsidR="007A4634">
        <w:t>Thus</w:t>
      </w:r>
      <w:proofErr w:type="gramEnd"/>
      <w:r w:rsidR="007A4634">
        <w:t xml:space="preserve"> single name is preferred.</w:t>
      </w:r>
    </w:p>
    <w:p w14:paraId="7AC5F556" w14:textId="64E6D391" w:rsidR="007A4634" w:rsidRDefault="007A4634" w:rsidP="003038F1">
      <w:r>
        <w:t xml:space="preserve">If there is reason to separate </w:t>
      </w:r>
      <w:proofErr w:type="spellStart"/>
      <w:r>
        <w:t>PCell</w:t>
      </w:r>
      <w:proofErr w:type="spellEnd"/>
      <w:r>
        <w:t xml:space="preserve"> and </w:t>
      </w:r>
      <w:proofErr w:type="spellStart"/>
      <w:r>
        <w:t>PSCell</w:t>
      </w:r>
      <w:proofErr w:type="spellEnd"/>
      <w:r>
        <w:t xml:space="preserve"> in the specifications </w:t>
      </w:r>
      <w:proofErr w:type="gramStart"/>
      <w:r>
        <w:t>later on</w:t>
      </w:r>
      <w:proofErr w:type="gramEnd"/>
      <w:r>
        <w:t xml:space="preserve"> when standalone NR is introduced, this is straightforward by referring to </w:t>
      </w:r>
      <w:proofErr w:type="spellStart"/>
      <w:r>
        <w:t>PCell</w:t>
      </w:r>
      <w:proofErr w:type="spellEnd"/>
      <w:r>
        <w:t xml:space="preserve"> of MCG and </w:t>
      </w:r>
      <w:proofErr w:type="spellStart"/>
      <w:r>
        <w:t>PCell</w:t>
      </w:r>
      <w:proofErr w:type="spellEnd"/>
      <w:r>
        <w:t xml:space="preserve"> of SCG</w:t>
      </w:r>
    </w:p>
    <w:p w14:paraId="6CB3D335" w14:textId="70062B79" w:rsidR="007A4634" w:rsidRPr="003038F1" w:rsidRDefault="007A4634" w:rsidP="003038F1"/>
    <w:p w14:paraId="69A2F57E" w14:textId="59A30BCE" w:rsidR="00A54826" w:rsidRDefault="007A4634" w:rsidP="00A54826">
      <w:pPr>
        <w:pStyle w:val="Proposal"/>
      </w:pPr>
      <w:bookmarkStart w:id="1" w:name="_Toc498363618"/>
      <w:bookmarkStart w:id="2" w:name="_Toc498620065"/>
      <w:bookmarkStart w:id="3" w:name="_Toc498642927"/>
      <w:r>
        <w:t>Confirm that</w:t>
      </w:r>
      <w:r w:rsidR="00415F5E">
        <w:t xml:space="preserve"> term </w:t>
      </w:r>
      <w:proofErr w:type="spellStart"/>
      <w:r w:rsidR="00415F5E">
        <w:t>PCell</w:t>
      </w:r>
      <w:proofErr w:type="spellEnd"/>
      <w:r w:rsidR="00415F5E">
        <w:t xml:space="preserve"> </w:t>
      </w:r>
      <w:r w:rsidR="00607A8A">
        <w:t>refer</w:t>
      </w:r>
      <w:r w:rsidR="00415F5E">
        <w:t>s</w:t>
      </w:r>
      <w:r w:rsidR="00607A8A">
        <w:t xml:space="preserve"> to </w:t>
      </w:r>
      <w:r w:rsidR="00415F5E">
        <w:t xml:space="preserve">the </w:t>
      </w:r>
      <w:r w:rsidR="00607A8A">
        <w:t xml:space="preserve">primary cell of </w:t>
      </w:r>
      <w:r w:rsidR="00415F5E">
        <w:t xml:space="preserve">the </w:t>
      </w:r>
      <w:r w:rsidR="00607A8A">
        <w:t xml:space="preserve">master and </w:t>
      </w:r>
      <w:r w:rsidR="00415F5E">
        <w:t xml:space="preserve">the </w:t>
      </w:r>
      <w:r w:rsidR="00607A8A">
        <w:t>secondary cell group</w:t>
      </w:r>
      <w:bookmarkEnd w:id="1"/>
      <w:bookmarkEnd w:id="2"/>
      <w:bookmarkEnd w:id="3"/>
    </w:p>
    <w:p w14:paraId="4B6D990C" w14:textId="4C717B6B" w:rsidR="00607A8A" w:rsidRDefault="00607A8A" w:rsidP="00607A8A">
      <w:pPr>
        <w:pStyle w:val="Proposal"/>
        <w:numPr>
          <w:ilvl w:val="0"/>
          <w:numId w:val="0"/>
        </w:numPr>
      </w:pPr>
    </w:p>
    <w:p w14:paraId="389895D5" w14:textId="5059E8C1" w:rsidR="00607A8A" w:rsidRDefault="00607A8A" w:rsidP="00607A8A">
      <w:pPr>
        <w:pStyle w:val="Heading2"/>
      </w:pPr>
      <w:r>
        <w:t>Synchronised reconfiguration</w:t>
      </w:r>
    </w:p>
    <w:p w14:paraId="0A13E00B" w14:textId="740BEF80" w:rsidR="003038F1" w:rsidRDefault="003038F1" w:rsidP="003038F1">
      <w:r>
        <w:t xml:space="preserve">In LTE single connectivity case, HO term is used in Stage-2 and to some extend in Stage-3. HO refers to change of </w:t>
      </w:r>
      <w:proofErr w:type="spellStart"/>
      <w:r>
        <w:t>PCell</w:t>
      </w:r>
      <w:proofErr w:type="spellEnd"/>
      <w:r>
        <w:t xml:space="preserve"> of the MCG.  In</w:t>
      </w:r>
      <w:r w:rsidR="00415F5E">
        <w:t xml:space="preserve"> Stage-3 (TS 36.331),</w:t>
      </w:r>
      <w:r>
        <w:t xml:space="preserve"> </w:t>
      </w:r>
      <w:proofErr w:type="spellStart"/>
      <w:r>
        <w:t>RRCConnectionReconf</w:t>
      </w:r>
      <w:r w:rsidR="002D45FF">
        <w:t>iguration</w:t>
      </w:r>
      <w:proofErr w:type="spellEnd"/>
      <w:r w:rsidR="002D45FF">
        <w:t xml:space="preserve"> with </w:t>
      </w:r>
      <w:proofErr w:type="spellStart"/>
      <w:r w:rsidR="002D45FF">
        <w:t>MobilityControl</w:t>
      </w:r>
      <w:r>
        <w:t>nfo</w:t>
      </w:r>
      <w:proofErr w:type="spellEnd"/>
      <w:r>
        <w:t xml:space="preserve"> is used in most places but also term HO is used (e.g. in conditions).</w:t>
      </w:r>
    </w:p>
    <w:p w14:paraId="09EE2BE3" w14:textId="199B9797" w:rsidR="002D45FF" w:rsidRDefault="003038F1" w:rsidP="003038F1">
      <w:r>
        <w:t xml:space="preserve">When LTE DC was introduced, new term “SCG Change” </w:t>
      </w:r>
      <w:r w:rsidR="00E96A67">
        <w:t xml:space="preserve">was introduced. This referring </w:t>
      </w:r>
      <w:r>
        <w:t xml:space="preserve">to synchronised change of </w:t>
      </w:r>
      <w:proofErr w:type="spellStart"/>
      <w:r>
        <w:t>PSCell</w:t>
      </w:r>
      <w:proofErr w:type="spellEnd"/>
      <w:r>
        <w:t xml:space="preserve"> including security key change.</w:t>
      </w:r>
      <w:r w:rsidR="00E96A67">
        <w:t xml:space="preserve"> In signalling level, this procedure corre</w:t>
      </w:r>
      <w:r w:rsidR="00415F5E">
        <w:t xml:space="preserve">sponds to </w:t>
      </w:r>
      <w:proofErr w:type="spellStart"/>
      <w:r w:rsidR="00415F5E">
        <w:t>RRCConnectionReconfig</w:t>
      </w:r>
      <w:r w:rsidR="00E96A67">
        <w:t>u</w:t>
      </w:r>
      <w:r w:rsidR="00415F5E">
        <w:t>r</w:t>
      </w:r>
      <w:r w:rsidR="00E96A67">
        <w:t>ation</w:t>
      </w:r>
      <w:proofErr w:type="spellEnd"/>
      <w:r w:rsidR="00E96A67">
        <w:t xml:space="preserve"> with </w:t>
      </w:r>
      <w:proofErr w:type="spellStart"/>
      <w:r w:rsidR="00E96A67">
        <w:t>MobilityControlInfoSCG</w:t>
      </w:r>
      <w:proofErr w:type="spellEnd"/>
      <w:r w:rsidR="00E96A67">
        <w:t>.</w:t>
      </w:r>
      <w:r w:rsidR="002D45FF">
        <w:t xml:space="preserve"> </w:t>
      </w:r>
    </w:p>
    <w:p w14:paraId="2753CE3E" w14:textId="6DA56D04" w:rsidR="002D45FF" w:rsidRDefault="003038F1" w:rsidP="002D45FF">
      <w:r>
        <w:t>Now in NR and EN-DC, it would be good to settle t</w:t>
      </w:r>
      <w:r w:rsidR="00E96A67">
        <w:t xml:space="preserve">he terminology also in Stage-3. </w:t>
      </w:r>
      <w:r w:rsidR="002D45FF">
        <w:t>In the email discussions it was</w:t>
      </w:r>
      <w:r w:rsidR="00E96A67">
        <w:t xml:space="preserve"> a bit open that should we introduce some terms </w:t>
      </w:r>
      <w:proofErr w:type="gramStart"/>
      <w:r w:rsidR="00E96A67">
        <w:t>similar to</w:t>
      </w:r>
      <w:proofErr w:type="gramEnd"/>
      <w:r w:rsidR="00E96A67">
        <w:t xml:space="preserve"> HO</w:t>
      </w:r>
      <w:r w:rsidR="002D45FF">
        <w:t xml:space="preserve"> and SCG change</w:t>
      </w:r>
      <w:r w:rsidR="00E96A67">
        <w:t>.</w:t>
      </w:r>
      <w:r w:rsidR="002D45FF">
        <w:t xml:space="preserve"> </w:t>
      </w:r>
    </w:p>
    <w:p w14:paraId="387AC878" w14:textId="3B07A3AF" w:rsidR="002D45FF" w:rsidRDefault="00E96A67" w:rsidP="003038F1">
      <w:r>
        <w:lastRenderedPageBreak/>
        <w:t xml:space="preserve">It should be noted that in NR, there are two types of handovers, one with </w:t>
      </w:r>
      <w:r w:rsidR="002D45FF">
        <w:t>security</w:t>
      </w:r>
      <w:r>
        <w:t xml:space="preserve"> key change and one without. If term HO would be used, then it is not clear if this term would be referring to </w:t>
      </w:r>
      <w:proofErr w:type="gramStart"/>
      <w:r>
        <w:t>both of these</w:t>
      </w:r>
      <w:proofErr w:type="gramEnd"/>
      <w:r>
        <w:t xml:space="preserve"> cases or only one case. If it would be used in both cases, then it cannot be used in the same purpose as in LTE where it is used to indicate in conditions when e.g. </w:t>
      </w:r>
      <w:proofErr w:type="spellStart"/>
      <w:r>
        <w:t>MobilityControlInfo</w:t>
      </w:r>
      <w:proofErr w:type="spellEnd"/>
      <w:r>
        <w:t xml:space="preserve"> as well as input to refresh security keys is needed.</w:t>
      </w:r>
    </w:p>
    <w:p w14:paraId="2957A9DC" w14:textId="65BA1476" w:rsidR="002D45FF" w:rsidRDefault="00415F5E" w:rsidP="002D45FF">
      <w:r>
        <w:t xml:space="preserve">For SCG change, </w:t>
      </w:r>
      <w:proofErr w:type="gramStart"/>
      <w:r>
        <w:t>actually</w:t>
      </w:r>
      <w:r w:rsidR="002D45FF">
        <w:t xml:space="preserve"> there</w:t>
      </w:r>
      <w:proofErr w:type="gramEnd"/>
      <w:r w:rsidR="002D45FF">
        <w:t xml:space="preserve"> was in principle agreement in </w:t>
      </w:r>
      <w:r>
        <w:t>RAN2#</w:t>
      </w:r>
      <w:r w:rsidR="002D45FF">
        <w:t>99bis:</w:t>
      </w:r>
    </w:p>
    <w:p w14:paraId="231C2528" w14:textId="77777777" w:rsidR="002D45FF" w:rsidRDefault="002D45FF" w:rsidP="002D45FF">
      <w:pPr>
        <w:pStyle w:val="Doc-text2"/>
        <w:pBdr>
          <w:top w:val="single" w:sz="4" w:space="1" w:color="auto"/>
          <w:left w:val="single" w:sz="4" w:space="4" w:color="auto"/>
          <w:bottom w:val="single" w:sz="4" w:space="1" w:color="auto"/>
          <w:right w:val="single" w:sz="4" w:space="4" w:color="auto"/>
        </w:pBdr>
      </w:pPr>
      <w:r>
        <w:t>6</w:t>
      </w:r>
      <w:r>
        <w:tab/>
        <w:t>For SCG change scenario and S-</w:t>
      </w:r>
      <w:proofErr w:type="spellStart"/>
      <w:r>
        <w:t>KgNB</w:t>
      </w:r>
      <w:proofErr w:type="spellEnd"/>
      <w:r>
        <w:t xml:space="preserve"> change scenario, signalling and L2 actions according to the TP plus agreements 4 and 5 are used. There is no need identified to specify “SCG change” procedure for the UE in NR RRC specification. (Implications on stage 2 description can be checked offline)</w:t>
      </w:r>
    </w:p>
    <w:p w14:paraId="3A55C24A" w14:textId="77777777" w:rsidR="002D45FF" w:rsidRDefault="002D45FF" w:rsidP="002D45FF"/>
    <w:p w14:paraId="09CA26E8" w14:textId="27433191" w:rsidR="002D45FF" w:rsidRDefault="002D45FF" w:rsidP="002D45FF">
      <w:r>
        <w:t>So far there has not been so strong need to have a term for HO and SCG change as in most cases it needs to be anyway clarified if there is key change or not.</w:t>
      </w:r>
    </w:p>
    <w:p w14:paraId="34013989" w14:textId="77777777" w:rsidR="003038F1" w:rsidRPr="003038F1" w:rsidRDefault="003038F1" w:rsidP="003038F1"/>
    <w:p w14:paraId="737E8934" w14:textId="59306FEC" w:rsidR="009E7859" w:rsidRDefault="009E7859" w:rsidP="006274D2">
      <w:pPr>
        <w:pStyle w:val="Proposal"/>
      </w:pPr>
      <w:bookmarkStart w:id="4" w:name="_Toc498620066"/>
      <w:bookmarkStart w:id="5" w:name="_Toc498363619"/>
      <w:bookmarkStart w:id="6" w:name="_Toc498642928"/>
      <w:r>
        <w:t>Do not use term HO nor SCG Change nor SCG refresh in Stage-3 RRC but instead</w:t>
      </w:r>
      <w:bookmarkEnd w:id="4"/>
      <w:bookmarkEnd w:id="6"/>
      <w:r>
        <w:t xml:space="preserve"> </w:t>
      </w:r>
    </w:p>
    <w:p w14:paraId="54C72C79" w14:textId="67EF2B17" w:rsidR="006274D2" w:rsidRDefault="009E7859" w:rsidP="009E7859">
      <w:pPr>
        <w:pStyle w:val="Proposal"/>
        <w:numPr>
          <w:ilvl w:val="0"/>
          <w:numId w:val="0"/>
        </w:numPr>
        <w:ind w:left="1701"/>
      </w:pPr>
      <w:bookmarkStart w:id="7" w:name="_Toc498620067"/>
      <w:bookmarkStart w:id="8" w:name="_Toc498642929"/>
      <w:r>
        <w:t>1) Synchronised R</w:t>
      </w:r>
      <w:r w:rsidR="00607A8A">
        <w:t>econfiguration with key change</w:t>
      </w:r>
      <w:bookmarkEnd w:id="5"/>
      <w:r>
        <w:t xml:space="preserve"> (</w:t>
      </w:r>
      <w:proofErr w:type="spellStart"/>
      <w:r w:rsidRPr="009E7859">
        <w:t>SyncReconfWithKeyChange</w:t>
      </w:r>
      <w:proofErr w:type="spellEnd"/>
      <w:r>
        <w:t>)</w:t>
      </w:r>
      <w:bookmarkEnd w:id="7"/>
      <w:bookmarkEnd w:id="8"/>
    </w:p>
    <w:p w14:paraId="182D9C80" w14:textId="44B63B02" w:rsidR="009E7859" w:rsidRDefault="009E7859" w:rsidP="009E7859">
      <w:pPr>
        <w:pStyle w:val="Proposal"/>
        <w:numPr>
          <w:ilvl w:val="0"/>
          <w:numId w:val="0"/>
        </w:numPr>
        <w:ind w:left="1701"/>
      </w:pPr>
      <w:bookmarkStart w:id="9" w:name="_Toc498620068"/>
      <w:bookmarkStart w:id="10" w:name="_Toc498642930"/>
      <w:r>
        <w:t>2) Synchronised Reconfiguration with key change (</w:t>
      </w:r>
      <w:proofErr w:type="spellStart"/>
      <w:r w:rsidRPr="009E7859">
        <w:t>SyncReconf</w:t>
      </w:r>
      <w:proofErr w:type="spellEnd"/>
      <w:r>
        <w:t>)</w:t>
      </w:r>
      <w:bookmarkEnd w:id="9"/>
      <w:bookmarkEnd w:id="10"/>
    </w:p>
    <w:p w14:paraId="17F5A972" w14:textId="77777777" w:rsidR="003742AC" w:rsidRPr="00CE0424" w:rsidRDefault="003742AC" w:rsidP="006E062C"/>
    <w:p w14:paraId="4672281F" w14:textId="77777777" w:rsidR="00C01F33" w:rsidRPr="00CE0424" w:rsidRDefault="00C01F33" w:rsidP="00CE0424">
      <w:pPr>
        <w:pStyle w:val="Heading1"/>
      </w:pPr>
      <w:r w:rsidRPr="00CE0424">
        <w:t>Conclusion</w:t>
      </w:r>
    </w:p>
    <w:p w14:paraId="2421BA81" w14:textId="554A8A03" w:rsidR="008E065E" w:rsidRDefault="008E065E" w:rsidP="008E065E">
      <w:pPr>
        <w:pStyle w:val="BodyText"/>
        <w:rPr>
          <w:b/>
          <w:bCs/>
        </w:rPr>
      </w:pPr>
    </w:p>
    <w:p w14:paraId="5F16DA14" w14:textId="77777777" w:rsidR="00415F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9775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AB91706" w14:textId="77777777" w:rsidR="00415F5E" w:rsidRPr="00415F5E" w:rsidRDefault="00415F5E">
      <w:pPr>
        <w:pStyle w:val="TOC1"/>
        <w:rPr>
          <w:rFonts w:asciiTheme="minorHAnsi" w:eastAsiaTheme="minorEastAsia" w:hAnsiTheme="minorHAnsi" w:cstheme="minorBidi"/>
          <w:b w:val="0"/>
          <w:sz w:val="22"/>
          <w:lang w:eastAsia="fi-FI"/>
        </w:rPr>
      </w:pPr>
      <w:r>
        <w:t>Proposal 1</w:t>
      </w:r>
      <w:r w:rsidRPr="00415F5E">
        <w:rPr>
          <w:rFonts w:asciiTheme="minorHAnsi" w:eastAsiaTheme="minorEastAsia" w:hAnsiTheme="minorHAnsi" w:cstheme="minorBidi"/>
          <w:b w:val="0"/>
          <w:sz w:val="22"/>
          <w:lang w:eastAsia="fi-FI"/>
        </w:rPr>
        <w:tab/>
      </w:r>
      <w:r>
        <w:t>Confirm that term PCell refers to the primary cell of the master and the secondary cell group</w:t>
      </w:r>
    </w:p>
    <w:p w14:paraId="79B4E7EA" w14:textId="77777777" w:rsidR="00415F5E" w:rsidRPr="00415F5E" w:rsidRDefault="00415F5E">
      <w:pPr>
        <w:pStyle w:val="TOC1"/>
        <w:rPr>
          <w:rFonts w:asciiTheme="minorHAnsi" w:eastAsiaTheme="minorEastAsia" w:hAnsiTheme="minorHAnsi" w:cstheme="minorBidi"/>
          <w:b w:val="0"/>
          <w:sz w:val="22"/>
          <w:lang w:eastAsia="fi-FI"/>
        </w:rPr>
      </w:pPr>
      <w:r>
        <w:t>Proposal 2</w:t>
      </w:r>
      <w:r w:rsidRPr="00415F5E">
        <w:rPr>
          <w:rFonts w:asciiTheme="minorHAnsi" w:eastAsiaTheme="minorEastAsia" w:hAnsiTheme="minorHAnsi" w:cstheme="minorBidi"/>
          <w:b w:val="0"/>
          <w:sz w:val="22"/>
          <w:lang w:eastAsia="fi-FI"/>
        </w:rPr>
        <w:tab/>
      </w:r>
      <w:r>
        <w:t>Do not use term HO nor SCG Change nor SCG refresh in Stage-3 RRC but instead</w:t>
      </w:r>
    </w:p>
    <w:p w14:paraId="2C31F8B1" w14:textId="77777777" w:rsidR="00415F5E" w:rsidRPr="00415F5E" w:rsidRDefault="00415F5E">
      <w:pPr>
        <w:pStyle w:val="TOC1"/>
        <w:rPr>
          <w:rFonts w:asciiTheme="minorHAnsi" w:eastAsiaTheme="minorEastAsia" w:hAnsiTheme="minorHAnsi" w:cstheme="minorBidi"/>
          <w:b w:val="0"/>
          <w:sz w:val="22"/>
          <w:lang w:eastAsia="fi-FI"/>
        </w:rPr>
      </w:pPr>
      <w:r>
        <w:t>1) Synchronised Reconfiguration with key change (SyncRec</w:t>
      </w:r>
      <w:bookmarkStart w:id="11" w:name="_GoBack"/>
      <w:bookmarkEnd w:id="11"/>
      <w:r>
        <w:t>onfWithKeyChange)</w:t>
      </w:r>
    </w:p>
    <w:p w14:paraId="141E5B5F" w14:textId="77777777" w:rsidR="00415F5E" w:rsidRPr="00415F5E" w:rsidRDefault="00415F5E">
      <w:pPr>
        <w:pStyle w:val="TOC1"/>
        <w:rPr>
          <w:rFonts w:asciiTheme="minorHAnsi" w:eastAsiaTheme="minorEastAsia" w:hAnsiTheme="minorHAnsi" w:cstheme="minorBidi"/>
          <w:b w:val="0"/>
          <w:sz w:val="22"/>
          <w:lang w:eastAsia="fi-FI"/>
        </w:rPr>
      </w:pPr>
      <w:r>
        <w:t>2) Synchronised Reconfiguration with key change (SyncReconf)</w:t>
      </w:r>
    </w:p>
    <w:p w14:paraId="31530420" w14:textId="77777777" w:rsidR="008E065E" w:rsidRPr="00CE0424" w:rsidRDefault="008E065E" w:rsidP="008E065E">
      <w:pPr>
        <w:rPr>
          <w:b/>
          <w:bCs/>
        </w:rPr>
      </w:pPr>
      <w:r>
        <w:rPr>
          <w:b/>
          <w:bCs/>
        </w:rPr>
        <w:fldChar w:fldCharType="end"/>
      </w:r>
    </w:p>
    <w:p w14:paraId="58D209F4" w14:textId="77777777" w:rsidR="008E065E" w:rsidRPr="00CE0424" w:rsidRDefault="008E065E" w:rsidP="008E065E">
      <w:pPr>
        <w:rPr>
          <w:b/>
          <w:bCs/>
        </w:rPr>
      </w:pPr>
    </w:p>
    <w:p w14:paraId="11DB2A17"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B0764" w14:textId="77777777" w:rsidR="00F9775A" w:rsidRDefault="00F9775A">
      <w:r>
        <w:separator/>
      </w:r>
    </w:p>
  </w:endnote>
  <w:endnote w:type="continuationSeparator" w:id="0">
    <w:p w14:paraId="1AF0F34E" w14:textId="77777777" w:rsidR="00F9775A" w:rsidRDefault="00F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1291" w14:textId="13DF929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5F5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5F5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5A8F8" w14:textId="77777777" w:rsidR="00F9775A" w:rsidRDefault="00F9775A">
      <w:r>
        <w:separator/>
      </w:r>
    </w:p>
  </w:footnote>
  <w:footnote w:type="continuationSeparator" w:id="0">
    <w:p w14:paraId="15060416" w14:textId="77777777" w:rsidR="00F9775A" w:rsidRDefault="00F97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ABA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CB72E0"/>
    <w:multiLevelType w:val="hybridMultilevel"/>
    <w:tmpl w:val="A5B8347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B840A4"/>
    <w:multiLevelType w:val="hybridMultilevel"/>
    <w:tmpl w:val="1E6EA71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5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E34"/>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5FF"/>
    <w:rsid w:val="002D7637"/>
    <w:rsid w:val="002E17F2"/>
    <w:rsid w:val="002E7CAE"/>
    <w:rsid w:val="002F2771"/>
    <w:rsid w:val="002F37A9"/>
    <w:rsid w:val="00301CE6"/>
    <w:rsid w:val="0030256B"/>
    <w:rsid w:val="003038F1"/>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F5E"/>
    <w:rsid w:val="00421105"/>
    <w:rsid w:val="004242F4"/>
    <w:rsid w:val="00427248"/>
    <w:rsid w:val="00437447"/>
    <w:rsid w:val="00441A92"/>
    <w:rsid w:val="00444F56"/>
    <w:rsid w:val="00446488"/>
    <w:rsid w:val="004517AA"/>
    <w:rsid w:val="00452CAC"/>
    <w:rsid w:val="00457565"/>
    <w:rsid w:val="00457B71"/>
    <w:rsid w:val="004645C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0D5"/>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7A8A"/>
    <w:rsid w:val="00611B83"/>
    <w:rsid w:val="00613257"/>
    <w:rsid w:val="00620A71"/>
    <w:rsid w:val="00620D80"/>
    <w:rsid w:val="006234A6"/>
    <w:rsid w:val="006274D2"/>
    <w:rsid w:val="00627668"/>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B8"/>
    <w:rsid w:val="006A5E28"/>
    <w:rsid w:val="006A697B"/>
    <w:rsid w:val="006A7AFF"/>
    <w:rsid w:val="006B1816"/>
    <w:rsid w:val="006B2099"/>
    <w:rsid w:val="006B464E"/>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B88"/>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224"/>
    <w:rsid w:val="007A1CB3"/>
    <w:rsid w:val="007A306F"/>
    <w:rsid w:val="007A43A6"/>
    <w:rsid w:val="007A4634"/>
    <w:rsid w:val="007A58A6"/>
    <w:rsid w:val="007B3D2D"/>
    <w:rsid w:val="007B50AE"/>
    <w:rsid w:val="007B51DF"/>
    <w:rsid w:val="007C05DD"/>
    <w:rsid w:val="007C2C1C"/>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1A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785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82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B8E"/>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1F4E"/>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363"/>
    <w:rsid w:val="00CB1F63"/>
    <w:rsid w:val="00CB7170"/>
    <w:rsid w:val="00CC040E"/>
    <w:rsid w:val="00CC111F"/>
    <w:rsid w:val="00CC2011"/>
    <w:rsid w:val="00CC3EA0"/>
    <w:rsid w:val="00CC7B45"/>
    <w:rsid w:val="00CD1188"/>
    <w:rsid w:val="00CD2ED1"/>
    <w:rsid w:val="00CD337B"/>
    <w:rsid w:val="00CE0424"/>
    <w:rsid w:val="00CE158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A67"/>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75A"/>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CE4CB"/>
  <w15:chartTrackingRefBased/>
  <w15:docId w15:val="{3DF895B1-B4D0-4853-A07B-9266B5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F5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15F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15F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15F5E"/>
    <w:pPr>
      <w:numPr>
        <w:ilvl w:val="2"/>
      </w:numPr>
      <w:spacing w:before="120"/>
      <w:outlineLvl w:val="2"/>
    </w:pPr>
    <w:rPr>
      <w:sz w:val="28"/>
      <w:szCs w:val="28"/>
    </w:rPr>
  </w:style>
  <w:style w:type="paragraph" w:styleId="Heading4">
    <w:name w:val="heading 4"/>
    <w:basedOn w:val="Heading3"/>
    <w:next w:val="Normal"/>
    <w:qFormat/>
    <w:rsid w:val="00415F5E"/>
    <w:pPr>
      <w:numPr>
        <w:ilvl w:val="3"/>
      </w:numPr>
      <w:outlineLvl w:val="3"/>
    </w:pPr>
    <w:rPr>
      <w:sz w:val="24"/>
      <w:szCs w:val="24"/>
    </w:rPr>
  </w:style>
  <w:style w:type="paragraph" w:styleId="Heading5">
    <w:name w:val="heading 5"/>
    <w:basedOn w:val="Heading4"/>
    <w:next w:val="Normal"/>
    <w:qFormat/>
    <w:rsid w:val="00415F5E"/>
    <w:pPr>
      <w:numPr>
        <w:ilvl w:val="4"/>
      </w:numPr>
      <w:outlineLvl w:val="4"/>
    </w:pPr>
    <w:rPr>
      <w:sz w:val="22"/>
      <w:szCs w:val="22"/>
    </w:rPr>
  </w:style>
  <w:style w:type="paragraph" w:styleId="Heading6">
    <w:name w:val="heading 6"/>
    <w:basedOn w:val="Normal"/>
    <w:next w:val="Normal"/>
    <w:qFormat/>
    <w:rsid w:val="00415F5E"/>
    <w:pPr>
      <w:keepNext/>
      <w:keepLines/>
      <w:numPr>
        <w:ilvl w:val="5"/>
        <w:numId w:val="1"/>
      </w:numPr>
      <w:spacing w:before="120"/>
      <w:outlineLvl w:val="5"/>
    </w:pPr>
    <w:rPr>
      <w:rFonts w:cs="Arial"/>
    </w:rPr>
  </w:style>
  <w:style w:type="paragraph" w:styleId="Heading7">
    <w:name w:val="heading 7"/>
    <w:basedOn w:val="Normal"/>
    <w:next w:val="Normal"/>
    <w:qFormat/>
    <w:rsid w:val="00415F5E"/>
    <w:pPr>
      <w:keepNext/>
      <w:keepLines/>
      <w:numPr>
        <w:ilvl w:val="6"/>
        <w:numId w:val="1"/>
      </w:numPr>
      <w:spacing w:before="120"/>
      <w:outlineLvl w:val="6"/>
    </w:pPr>
    <w:rPr>
      <w:rFonts w:cs="Arial"/>
    </w:rPr>
  </w:style>
  <w:style w:type="paragraph" w:styleId="Heading8">
    <w:name w:val="heading 8"/>
    <w:basedOn w:val="Heading7"/>
    <w:next w:val="Normal"/>
    <w:qFormat/>
    <w:rsid w:val="00415F5E"/>
    <w:pPr>
      <w:numPr>
        <w:ilvl w:val="7"/>
      </w:numPr>
      <w:outlineLvl w:val="7"/>
    </w:pPr>
  </w:style>
  <w:style w:type="paragraph" w:styleId="Heading9">
    <w:name w:val="heading 9"/>
    <w:basedOn w:val="Heading8"/>
    <w:next w:val="Normal"/>
    <w:qFormat/>
    <w:rsid w:val="00415F5E"/>
    <w:pPr>
      <w:numPr>
        <w:ilvl w:val="8"/>
      </w:numPr>
      <w:outlineLvl w:val="8"/>
    </w:pPr>
  </w:style>
  <w:style w:type="character" w:default="1" w:styleId="DefaultParagraphFont">
    <w:name w:val="Default Paragraph Font"/>
    <w:uiPriority w:val="1"/>
    <w:semiHidden/>
    <w:unhideWhenUsed/>
    <w:rsid w:val="00415F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F5E"/>
  </w:style>
  <w:style w:type="paragraph" w:styleId="TOC8">
    <w:name w:val="toc 8"/>
    <w:basedOn w:val="TOC1"/>
    <w:semiHidden/>
    <w:rsid w:val="00415F5E"/>
    <w:pPr>
      <w:spacing w:before="180"/>
      <w:ind w:left="2693" w:hanging="2693"/>
    </w:pPr>
    <w:rPr>
      <w:b w:val="0"/>
      <w:bCs/>
    </w:rPr>
  </w:style>
  <w:style w:type="paragraph" w:styleId="TOC1">
    <w:name w:val="toc 1"/>
    <w:aliases w:val="Observation TOC2"/>
    <w:uiPriority w:val="39"/>
    <w:rsid w:val="00415F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15F5E"/>
    <w:pPr>
      <w:keepNext/>
      <w:keepLines/>
      <w:spacing w:before="180"/>
      <w:jc w:val="center"/>
    </w:pPr>
  </w:style>
  <w:style w:type="paragraph" w:styleId="Caption">
    <w:name w:val="caption"/>
    <w:basedOn w:val="Normal"/>
    <w:next w:val="Normal"/>
    <w:qFormat/>
    <w:rsid w:val="00415F5E"/>
    <w:pPr>
      <w:spacing w:after="240"/>
      <w:jc w:val="center"/>
    </w:pPr>
    <w:rPr>
      <w:b/>
      <w:bCs/>
    </w:rPr>
  </w:style>
  <w:style w:type="paragraph" w:styleId="TOC5">
    <w:name w:val="toc 5"/>
    <w:aliases w:val="Observation TOC"/>
    <w:basedOn w:val="TOC4"/>
    <w:semiHidden/>
    <w:rsid w:val="00415F5E"/>
    <w:pPr>
      <w:tabs>
        <w:tab w:val="right" w:pos="1701"/>
      </w:tabs>
      <w:ind w:left="1701" w:hanging="1701"/>
    </w:pPr>
  </w:style>
  <w:style w:type="paragraph" w:styleId="TOC4">
    <w:name w:val="toc 4"/>
    <w:basedOn w:val="TOC3"/>
    <w:semiHidden/>
    <w:rsid w:val="00415F5E"/>
    <w:pPr>
      <w:ind w:left="1418" w:hanging="1418"/>
    </w:pPr>
  </w:style>
  <w:style w:type="paragraph" w:styleId="TOC3">
    <w:name w:val="toc 3"/>
    <w:basedOn w:val="TOC2"/>
    <w:semiHidden/>
    <w:rsid w:val="00415F5E"/>
    <w:pPr>
      <w:ind w:left="1134" w:hanging="1134"/>
    </w:pPr>
  </w:style>
  <w:style w:type="paragraph" w:styleId="TOC2">
    <w:name w:val="toc 2"/>
    <w:basedOn w:val="TOC1"/>
    <w:semiHidden/>
    <w:rsid w:val="00415F5E"/>
    <w:pPr>
      <w:keepNext w:val="0"/>
      <w:spacing w:before="0"/>
      <w:ind w:left="851" w:hanging="851"/>
    </w:pPr>
    <w:rPr>
      <w:szCs w:val="20"/>
    </w:rPr>
  </w:style>
  <w:style w:type="paragraph" w:styleId="Index2">
    <w:name w:val="index 2"/>
    <w:basedOn w:val="Index1"/>
    <w:semiHidden/>
    <w:rsid w:val="00415F5E"/>
    <w:pPr>
      <w:ind w:left="284"/>
    </w:pPr>
  </w:style>
  <w:style w:type="paragraph" w:styleId="Index1">
    <w:name w:val="index 1"/>
    <w:basedOn w:val="Normal"/>
    <w:semiHidden/>
    <w:rsid w:val="00415F5E"/>
    <w:pPr>
      <w:keepLines/>
      <w:spacing w:after="0"/>
    </w:pPr>
  </w:style>
  <w:style w:type="paragraph" w:styleId="DocumentMap">
    <w:name w:val="Document Map"/>
    <w:basedOn w:val="Normal"/>
    <w:semiHidden/>
    <w:rsid w:val="00415F5E"/>
    <w:pPr>
      <w:shd w:val="clear" w:color="auto" w:fill="000080"/>
    </w:pPr>
    <w:rPr>
      <w:rFonts w:ascii="Tahoma" w:hAnsi="Tahoma" w:cs="Tahoma"/>
    </w:rPr>
  </w:style>
  <w:style w:type="paragraph" w:styleId="ListNumber2">
    <w:name w:val="List Number 2"/>
    <w:basedOn w:val="ListNumber"/>
    <w:rsid w:val="00415F5E"/>
    <w:pPr>
      <w:ind w:left="851"/>
    </w:pPr>
  </w:style>
  <w:style w:type="paragraph" w:styleId="ListNumber">
    <w:name w:val="List Number"/>
    <w:basedOn w:val="List"/>
    <w:rsid w:val="00415F5E"/>
  </w:style>
  <w:style w:type="paragraph" w:styleId="List">
    <w:name w:val="List"/>
    <w:basedOn w:val="Normal"/>
    <w:rsid w:val="00415F5E"/>
    <w:pPr>
      <w:ind w:left="568" w:hanging="284"/>
    </w:pPr>
  </w:style>
  <w:style w:type="paragraph" w:styleId="Header">
    <w:name w:val="header"/>
    <w:rsid w:val="00415F5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15F5E"/>
    <w:rPr>
      <w:b/>
      <w:bCs/>
      <w:position w:val="6"/>
      <w:sz w:val="16"/>
      <w:szCs w:val="16"/>
    </w:rPr>
  </w:style>
  <w:style w:type="paragraph" w:styleId="FootnoteText">
    <w:name w:val="footnote text"/>
    <w:basedOn w:val="Normal"/>
    <w:semiHidden/>
    <w:rsid w:val="00415F5E"/>
    <w:pPr>
      <w:keepLines/>
      <w:spacing w:after="0"/>
      <w:ind w:left="454" w:hanging="454"/>
    </w:pPr>
    <w:rPr>
      <w:sz w:val="16"/>
      <w:szCs w:val="16"/>
    </w:rPr>
  </w:style>
  <w:style w:type="paragraph" w:customStyle="1" w:styleId="3GPPHeader">
    <w:name w:val="3GPP_Header"/>
    <w:basedOn w:val="Normal"/>
    <w:rsid w:val="00415F5E"/>
    <w:pPr>
      <w:tabs>
        <w:tab w:val="left" w:pos="1701"/>
        <w:tab w:val="right" w:pos="9639"/>
      </w:tabs>
      <w:spacing w:after="240"/>
    </w:pPr>
    <w:rPr>
      <w:b/>
      <w:sz w:val="24"/>
    </w:rPr>
  </w:style>
  <w:style w:type="paragraph" w:styleId="TOC9">
    <w:name w:val="toc 9"/>
    <w:basedOn w:val="TOC8"/>
    <w:semiHidden/>
    <w:rsid w:val="00415F5E"/>
    <w:pPr>
      <w:ind w:left="1418" w:hanging="1418"/>
    </w:pPr>
  </w:style>
  <w:style w:type="paragraph" w:styleId="TOC6">
    <w:name w:val="toc 6"/>
    <w:basedOn w:val="TOC5"/>
    <w:next w:val="Normal"/>
    <w:semiHidden/>
    <w:rsid w:val="00415F5E"/>
    <w:pPr>
      <w:ind w:left="1985" w:hanging="1985"/>
    </w:pPr>
  </w:style>
  <w:style w:type="paragraph" w:styleId="TOC7">
    <w:name w:val="toc 7"/>
    <w:basedOn w:val="TOC6"/>
    <w:next w:val="Normal"/>
    <w:semiHidden/>
    <w:rsid w:val="00415F5E"/>
    <w:pPr>
      <w:ind w:left="2268" w:hanging="2268"/>
    </w:pPr>
  </w:style>
  <w:style w:type="paragraph" w:styleId="ListBullet2">
    <w:name w:val="List Bullet 2"/>
    <w:basedOn w:val="ListBullet"/>
    <w:rsid w:val="00415F5E"/>
    <w:pPr>
      <w:numPr>
        <w:numId w:val="6"/>
      </w:numPr>
    </w:pPr>
  </w:style>
  <w:style w:type="paragraph" w:styleId="ListBullet">
    <w:name w:val="List Bullet"/>
    <w:basedOn w:val="BodyText"/>
    <w:rsid w:val="00415F5E"/>
    <w:pPr>
      <w:numPr>
        <w:numId w:val="5"/>
      </w:numPr>
    </w:pPr>
  </w:style>
  <w:style w:type="paragraph" w:styleId="ListBullet3">
    <w:name w:val="List Bullet 3"/>
    <w:basedOn w:val="ListBullet2"/>
    <w:rsid w:val="00415F5E"/>
    <w:pPr>
      <w:numPr>
        <w:numId w:val="7"/>
      </w:numPr>
    </w:pPr>
  </w:style>
  <w:style w:type="paragraph" w:customStyle="1" w:styleId="EQ">
    <w:name w:val="EQ"/>
    <w:basedOn w:val="Normal"/>
    <w:next w:val="Normal"/>
    <w:rsid w:val="00415F5E"/>
    <w:pPr>
      <w:keepLines/>
      <w:tabs>
        <w:tab w:val="center" w:pos="4536"/>
        <w:tab w:val="right" w:pos="9072"/>
      </w:tabs>
      <w:spacing w:after="180"/>
      <w:jc w:val="left"/>
    </w:pPr>
    <w:rPr>
      <w:noProof/>
      <w:lang w:eastAsia="en-US"/>
    </w:rPr>
  </w:style>
  <w:style w:type="paragraph" w:styleId="List2">
    <w:name w:val="List 2"/>
    <w:basedOn w:val="List"/>
    <w:rsid w:val="00415F5E"/>
    <w:pPr>
      <w:ind w:left="851"/>
    </w:pPr>
  </w:style>
  <w:style w:type="paragraph" w:styleId="List3">
    <w:name w:val="List 3"/>
    <w:basedOn w:val="List2"/>
    <w:rsid w:val="00415F5E"/>
    <w:pPr>
      <w:ind w:left="1135"/>
    </w:pPr>
  </w:style>
  <w:style w:type="paragraph" w:styleId="List4">
    <w:name w:val="List 4"/>
    <w:basedOn w:val="List3"/>
    <w:rsid w:val="00415F5E"/>
    <w:pPr>
      <w:ind w:left="1418"/>
    </w:pPr>
  </w:style>
  <w:style w:type="paragraph" w:styleId="List5">
    <w:name w:val="List 5"/>
    <w:basedOn w:val="List4"/>
    <w:rsid w:val="00415F5E"/>
    <w:pPr>
      <w:ind w:left="1702"/>
    </w:pPr>
  </w:style>
  <w:style w:type="paragraph" w:customStyle="1" w:styleId="EditorsNote">
    <w:name w:val="Editor's Note"/>
    <w:basedOn w:val="Normal"/>
    <w:rsid w:val="00415F5E"/>
    <w:pPr>
      <w:keepLines/>
      <w:spacing w:after="180"/>
      <w:ind w:left="1135" w:hanging="851"/>
      <w:jc w:val="left"/>
    </w:pPr>
    <w:rPr>
      <w:color w:val="FF0000"/>
      <w:lang w:eastAsia="en-US"/>
    </w:rPr>
  </w:style>
  <w:style w:type="paragraph" w:styleId="ListBullet4">
    <w:name w:val="List Bullet 4"/>
    <w:basedOn w:val="ListBullet3"/>
    <w:rsid w:val="00415F5E"/>
    <w:pPr>
      <w:numPr>
        <w:numId w:val="8"/>
      </w:numPr>
    </w:pPr>
  </w:style>
  <w:style w:type="paragraph" w:styleId="ListBullet5">
    <w:name w:val="List Bullet 5"/>
    <w:basedOn w:val="ListBullet4"/>
    <w:rsid w:val="00415F5E"/>
    <w:pPr>
      <w:numPr>
        <w:numId w:val="4"/>
      </w:numPr>
    </w:pPr>
  </w:style>
  <w:style w:type="paragraph" w:styleId="Footer">
    <w:name w:val="footer"/>
    <w:basedOn w:val="Header"/>
    <w:semiHidden/>
    <w:rsid w:val="00415F5E"/>
    <w:pPr>
      <w:jc w:val="center"/>
    </w:pPr>
    <w:rPr>
      <w:i/>
      <w:iCs/>
    </w:rPr>
  </w:style>
  <w:style w:type="paragraph" w:customStyle="1" w:styleId="Reference">
    <w:name w:val="Reference"/>
    <w:basedOn w:val="Normal"/>
    <w:rsid w:val="00415F5E"/>
    <w:pPr>
      <w:numPr>
        <w:numId w:val="2"/>
      </w:numPr>
    </w:pPr>
  </w:style>
  <w:style w:type="paragraph" w:styleId="BalloonText">
    <w:name w:val="Balloon Text"/>
    <w:basedOn w:val="Normal"/>
    <w:semiHidden/>
    <w:rsid w:val="00415F5E"/>
    <w:rPr>
      <w:rFonts w:ascii="Tahoma" w:hAnsi="Tahoma" w:cs="Tahoma"/>
      <w:sz w:val="16"/>
      <w:szCs w:val="16"/>
    </w:rPr>
  </w:style>
  <w:style w:type="character" w:styleId="PageNumber">
    <w:name w:val="page number"/>
    <w:basedOn w:val="DefaultParagraphFont"/>
    <w:semiHidden/>
    <w:rsid w:val="00415F5E"/>
  </w:style>
  <w:style w:type="paragraph" w:styleId="BodyText">
    <w:name w:val="Body Text"/>
    <w:basedOn w:val="Normal"/>
    <w:link w:val="BodyTextChar"/>
    <w:rsid w:val="00415F5E"/>
  </w:style>
  <w:style w:type="character" w:styleId="Hyperlink">
    <w:name w:val="Hyperlink"/>
    <w:uiPriority w:val="99"/>
    <w:rsid w:val="00415F5E"/>
    <w:rPr>
      <w:color w:val="0000FF"/>
      <w:u w:val="single"/>
      <w:lang w:val="en-GB"/>
    </w:rPr>
  </w:style>
  <w:style w:type="character" w:styleId="FollowedHyperlink">
    <w:name w:val="FollowedHyperlink"/>
    <w:semiHidden/>
    <w:rsid w:val="00415F5E"/>
    <w:rPr>
      <w:color w:val="FF0000"/>
      <w:u w:val="single"/>
    </w:rPr>
  </w:style>
  <w:style w:type="character" w:styleId="CommentReference">
    <w:name w:val="annotation reference"/>
    <w:semiHidden/>
    <w:rsid w:val="00415F5E"/>
    <w:rPr>
      <w:sz w:val="16"/>
      <w:szCs w:val="16"/>
    </w:rPr>
  </w:style>
  <w:style w:type="paragraph" w:styleId="CommentText">
    <w:name w:val="annotation text"/>
    <w:basedOn w:val="Normal"/>
    <w:semiHidden/>
    <w:rsid w:val="00415F5E"/>
  </w:style>
  <w:style w:type="paragraph" w:styleId="CommentSubject">
    <w:name w:val="annotation subject"/>
    <w:basedOn w:val="CommentText"/>
    <w:next w:val="CommentText"/>
    <w:semiHidden/>
    <w:rsid w:val="00415F5E"/>
    <w:rPr>
      <w:b/>
      <w:bCs/>
    </w:rPr>
  </w:style>
  <w:style w:type="character" w:customStyle="1" w:styleId="Heading1Char">
    <w:name w:val="Heading 1 Char"/>
    <w:link w:val="Heading1"/>
    <w:rsid w:val="00415F5E"/>
    <w:rPr>
      <w:rFonts w:ascii="Arial" w:hAnsi="Arial" w:cs="Arial"/>
      <w:sz w:val="36"/>
      <w:szCs w:val="36"/>
      <w:lang w:val="en-GB" w:eastAsia="zh-CN"/>
    </w:rPr>
  </w:style>
  <w:style w:type="paragraph" w:customStyle="1" w:styleId="B1">
    <w:name w:val="B1"/>
    <w:basedOn w:val="List"/>
    <w:rsid w:val="00415F5E"/>
    <w:pPr>
      <w:spacing w:after="180"/>
      <w:jc w:val="left"/>
    </w:pPr>
    <w:rPr>
      <w:lang w:eastAsia="en-US"/>
    </w:rPr>
  </w:style>
  <w:style w:type="paragraph" w:customStyle="1" w:styleId="B2">
    <w:name w:val="B2"/>
    <w:basedOn w:val="List2"/>
    <w:rsid w:val="00415F5E"/>
    <w:pPr>
      <w:spacing w:after="180"/>
      <w:jc w:val="left"/>
    </w:pPr>
    <w:rPr>
      <w:lang w:eastAsia="en-US"/>
    </w:rPr>
  </w:style>
  <w:style w:type="paragraph" w:customStyle="1" w:styleId="B3">
    <w:name w:val="B3"/>
    <w:basedOn w:val="List3"/>
    <w:rsid w:val="00415F5E"/>
    <w:pPr>
      <w:spacing w:after="180"/>
      <w:jc w:val="left"/>
    </w:pPr>
    <w:rPr>
      <w:lang w:eastAsia="en-US"/>
    </w:rPr>
  </w:style>
  <w:style w:type="paragraph" w:customStyle="1" w:styleId="B4">
    <w:name w:val="B4"/>
    <w:basedOn w:val="List4"/>
    <w:rsid w:val="00415F5E"/>
    <w:pPr>
      <w:spacing w:after="180"/>
      <w:jc w:val="left"/>
    </w:pPr>
    <w:rPr>
      <w:lang w:eastAsia="en-US"/>
    </w:rPr>
  </w:style>
  <w:style w:type="paragraph" w:customStyle="1" w:styleId="Proposal">
    <w:name w:val="Proposal"/>
    <w:basedOn w:val="Normal"/>
    <w:rsid w:val="00415F5E"/>
    <w:pPr>
      <w:numPr>
        <w:numId w:val="3"/>
      </w:numPr>
      <w:tabs>
        <w:tab w:val="clear" w:pos="1304"/>
        <w:tab w:val="left" w:pos="1701"/>
      </w:tabs>
      <w:ind w:left="1701" w:hanging="1701"/>
    </w:pPr>
    <w:rPr>
      <w:b/>
      <w:bCs/>
    </w:rPr>
  </w:style>
  <w:style w:type="character" w:customStyle="1" w:styleId="BodyTextChar">
    <w:name w:val="Body Text Char"/>
    <w:link w:val="BodyText"/>
    <w:rsid w:val="00415F5E"/>
    <w:rPr>
      <w:rFonts w:ascii="Arial" w:hAnsi="Arial"/>
      <w:lang w:val="en-GB" w:eastAsia="zh-CN"/>
    </w:rPr>
  </w:style>
  <w:style w:type="paragraph" w:customStyle="1" w:styleId="B5">
    <w:name w:val="B5"/>
    <w:basedOn w:val="List5"/>
    <w:rsid w:val="00415F5E"/>
    <w:pPr>
      <w:spacing w:after="180"/>
      <w:jc w:val="left"/>
    </w:pPr>
    <w:rPr>
      <w:lang w:eastAsia="en-US"/>
    </w:rPr>
  </w:style>
  <w:style w:type="paragraph" w:customStyle="1" w:styleId="EX">
    <w:name w:val="EX"/>
    <w:basedOn w:val="Normal"/>
    <w:rsid w:val="00415F5E"/>
    <w:pPr>
      <w:keepLines/>
      <w:spacing w:after="180"/>
      <w:ind w:left="1702" w:hanging="1418"/>
      <w:jc w:val="left"/>
    </w:pPr>
    <w:rPr>
      <w:lang w:eastAsia="en-US"/>
    </w:rPr>
  </w:style>
  <w:style w:type="paragraph" w:customStyle="1" w:styleId="EW">
    <w:name w:val="EW"/>
    <w:basedOn w:val="EX"/>
    <w:rsid w:val="00415F5E"/>
    <w:pPr>
      <w:spacing w:after="0"/>
    </w:pPr>
  </w:style>
  <w:style w:type="paragraph" w:customStyle="1" w:styleId="TAL">
    <w:name w:val="TAL"/>
    <w:basedOn w:val="Normal"/>
    <w:rsid w:val="00415F5E"/>
    <w:pPr>
      <w:keepNext/>
      <w:keepLines/>
      <w:spacing w:after="0"/>
      <w:jc w:val="left"/>
    </w:pPr>
    <w:rPr>
      <w:sz w:val="18"/>
      <w:lang w:eastAsia="en-US"/>
    </w:rPr>
  </w:style>
  <w:style w:type="paragraph" w:customStyle="1" w:styleId="TAC">
    <w:name w:val="TAC"/>
    <w:basedOn w:val="TAL"/>
    <w:rsid w:val="00415F5E"/>
    <w:pPr>
      <w:jc w:val="center"/>
    </w:pPr>
  </w:style>
  <w:style w:type="paragraph" w:customStyle="1" w:styleId="TAH">
    <w:name w:val="TAH"/>
    <w:basedOn w:val="TAC"/>
    <w:rsid w:val="00415F5E"/>
    <w:rPr>
      <w:b/>
    </w:rPr>
  </w:style>
  <w:style w:type="paragraph" w:customStyle="1" w:styleId="TAN">
    <w:name w:val="TAN"/>
    <w:basedOn w:val="TAL"/>
    <w:rsid w:val="00415F5E"/>
    <w:pPr>
      <w:ind w:left="851" w:hanging="851"/>
    </w:pPr>
  </w:style>
  <w:style w:type="paragraph" w:customStyle="1" w:styleId="TAR">
    <w:name w:val="TAR"/>
    <w:basedOn w:val="TAL"/>
    <w:rsid w:val="00415F5E"/>
    <w:pPr>
      <w:jc w:val="right"/>
    </w:pPr>
  </w:style>
  <w:style w:type="paragraph" w:customStyle="1" w:styleId="TH">
    <w:name w:val="TH"/>
    <w:basedOn w:val="Normal"/>
    <w:rsid w:val="00415F5E"/>
    <w:pPr>
      <w:keepNext/>
      <w:keepLines/>
      <w:spacing w:before="60" w:after="180"/>
      <w:jc w:val="center"/>
    </w:pPr>
    <w:rPr>
      <w:b/>
      <w:lang w:eastAsia="en-US"/>
    </w:rPr>
  </w:style>
  <w:style w:type="paragraph" w:customStyle="1" w:styleId="TF">
    <w:name w:val="TF"/>
    <w:basedOn w:val="TH"/>
    <w:rsid w:val="00415F5E"/>
    <w:pPr>
      <w:keepNext w:val="0"/>
      <w:spacing w:before="0" w:after="240"/>
    </w:pPr>
  </w:style>
  <w:style w:type="paragraph" w:customStyle="1" w:styleId="TT">
    <w:name w:val="TT"/>
    <w:basedOn w:val="Heading1"/>
    <w:next w:val="Normal"/>
    <w:rsid w:val="00415F5E"/>
    <w:pPr>
      <w:numPr>
        <w:numId w:val="0"/>
      </w:numPr>
      <w:ind w:left="1134" w:hanging="1134"/>
      <w:outlineLvl w:val="9"/>
    </w:pPr>
    <w:rPr>
      <w:rFonts w:cs="Times New Roman"/>
      <w:szCs w:val="20"/>
      <w:lang w:eastAsia="en-US"/>
    </w:rPr>
  </w:style>
  <w:style w:type="paragraph" w:customStyle="1" w:styleId="ZA">
    <w:name w:val="ZA"/>
    <w:rsid w:val="00415F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5F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15F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15F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15F5E"/>
  </w:style>
  <w:style w:type="paragraph" w:customStyle="1" w:styleId="ZH">
    <w:name w:val="ZH"/>
    <w:rsid w:val="00415F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15F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15F5E"/>
    <w:pPr>
      <w:framePr w:hRule="auto" w:wrap="notBeside" w:y="852"/>
    </w:pPr>
    <w:rPr>
      <w:i w:val="0"/>
      <w:sz w:val="40"/>
    </w:rPr>
  </w:style>
  <w:style w:type="paragraph" w:customStyle="1" w:styleId="ZU">
    <w:name w:val="ZU"/>
    <w:rsid w:val="00415F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15F5E"/>
    <w:pPr>
      <w:framePr w:wrap="notBeside" w:y="16161"/>
    </w:pPr>
  </w:style>
  <w:style w:type="paragraph" w:customStyle="1" w:styleId="FP">
    <w:name w:val="FP"/>
    <w:basedOn w:val="Normal"/>
    <w:rsid w:val="00415F5E"/>
    <w:pPr>
      <w:spacing w:after="0"/>
      <w:jc w:val="left"/>
    </w:pPr>
    <w:rPr>
      <w:lang w:eastAsia="en-US"/>
    </w:rPr>
  </w:style>
  <w:style w:type="paragraph" w:customStyle="1" w:styleId="Observation">
    <w:name w:val="Observation"/>
    <w:basedOn w:val="Proposal"/>
    <w:qFormat/>
    <w:rsid w:val="00415F5E"/>
    <w:pPr>
      <w:numPr>
        <w:numId w:val="13"/>
      </w:numPr>
      <w:ind w:left="1701" w:hanging="1701"/>
    </w:pPr>
  </w:style>
  <w:style w:type="paragraph" w:styleId="TableofFigures">
    <w:name w:val="table of figures"/>
    <w:basedOn w:val="Normal"/>
    <w:next w:val="Normal"/>
    <w:uiPriority w:val="99"/>
    <w:rsid w:val="00415F5E"/>
    <w:pPr>
      <w:ind w:left="1418" w:hanging="1418"/>
      <w:jc w:val="left"/>
    </w:pPr>
    <w:rPr>
      <w:b/>
    </w:rPr>
  </w:style>
  <w:style w:type="paragraph" w:customStyle="1" w:styleId="Doc-text2">
    <w:name w:val="Doc-text2"/>
    <w:basedOn w:val="Normal"/>
    <w:link w:val="Doc-text2Char"/>
    <w:qFormat/>
    <w:rsid w:val="00415F5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15F5E"/>
    <w:rPr>
      <w:rFonts w:ascii="Arial" w:eastAsia="MS Mincho" w:hAnsi="Arial"/>
      <w:szCs w:val="24"/>
      <w:lang w:val="en-GB" w:eastAsia="en-GB"/>
    </w:rPr>
  </w:style>
  <w:style w:type="paragraph" w:customStyle="1" w:styleId="PL">
    <w:name w:val="PL"/>
    <w:link w:val="PLChar"/>
    <w:rsid w:val="00502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020D5"/>
    <w:rPr>
      <w:rFonts w:ascii="Courier New" w:hAnsi="Courier New"/>
      <w:noProof/>
      <w:sz w:val="16"/>
      <w:shd w:val="clear" w:color="auto" w:fill="E6E6E6"/>
      <w:lang w:eastAsia="sv-SE"/>
    </w:rPr>
  </w:style>
  <w:style w:type="paragraph" w:styleId="ListParagraph">
    <w:name w:val="List Paragraph"/>
    <w:basedOn w:val="Normal"/>
    <w:uiPriority w:val="34"/>
    <w:qFormat/>
    <w:rsid w:val="00A548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5912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5NUHHDQN7SK2-1-185732</_dlc_DocId>
    <_dlc_DocIdUrl xmlns="08b2df90-05d3-4030-90d4-c9feeb4a1cd9">
      <Url>https://ericoll.internal.ericsson.com/sites/star/_layouts/DocIdRedir.aspx?ID=5NUHHDQN7SK2-1-185732</Url>
      <Description>5NUHHDQN7SK2-1-185732</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015D31E3-01FE-46E3-AF8A-93F629158311}"/>
</file>

<file path=docProps/app.xml><?xml version="1.0" encoding="utf-8"?>
<Properties xmlns="http://schemas.openxmlformats.org/officeDocument/2006/extended-properties" xmlns:vt="http://schemas.openxmlformats.org/officeDocument/2006/docPropsVTypes">
  <Template>R2-17xxxxx - Contribution Template</Template>
  <TotalTime>104</TotalTime>
  <Pages>2</Pages>
  <Words>672</Words>
  <Characters>3374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Riikka Susitaival</cp:lastModifiedBy>
  <cp:revision>17</cp:revision>
  <cp:lastPrinted>2008-01-31T16:09:00Z</cp:lastPrinted>
  <dcterms:created xsi:type="dcterms:W3CDTF">2017-11-13T15:37:00Z</dcterms:created>
  <dcterms:modified xsi:type="dcterms:W3CDTF">2017-11-16T22:46:00Z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0868630f-f227-40a8-948f-75cf4e26fe88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